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vertAnchor="page" w:horzAnchor="page" w:tblpX="7786" w:tblpY="916"/>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0" w:type="dxa"/>
          <w:right w:w="0" w:type="dxa"/>
        </w:tblCellMar>
        <w:tblLook w:val="0000" w:firstRow="0" w:lastRow="0" w:firstColumn="0" w:lastColumn="0" w:noHBand="0" w:noVBand="0"/>
      </w:tblPr>
      <w:tblGrid>
        <w:gridCol w:w="3785"/>
        <w:gridCol w:w="571"/>
      </w:tblGrid>
      <w:tr w:rsidR="00E53042" w:rsidRPr="00E53042" w:rsidTr="009701C9">
        <w:trPr>
          <w:trHeight w:val="86"/>
        </w:trPr>
        <w:tc>
          <w:tcPr>
            <w:tcW w:w="4356" w:type="dxa"/>
            <w:gridSpan w:val="2"/>
            <w:shd w:val="clear" w:color="auto" w:fill="FFFFFF"/>
            <w:noWrap/>
          </w:tcPr>
          <w:p w:rsidR="00E53042" w:rsidRPr="00E53042" w:rsidRDefault="00E53042" w:rsidP="00E53042">
            <w:pPr>
              <w:spacing w:after="0" w:line="240" w:lineRule="auto"/>
              <w:rPr>
                <w:rFonts w:ascii="Book Antiqua" w:eastAsia="Times New Roman" w:hAnsi="Book Antiqua" w:cs="Times New Roman"/>
                <w:b/>
                <w:szCs w:val="20"/>
              </w:rPr>
            </w:pPr>
            <w:r w:rsidRPr="00E53042">
              <w:rPr>
                <w:rFonts w:ascii="Book Antiqua" w:eastAsia="Times New Roman" w:hAnsi="Book Antiqua" w:cs="Times New Roman"/>
                <w:b/>
                <w:szCs w:val="20"/>
              </w:rPr>
              <w:t>PRESS RELEASE</w:t>
            </w:r>
          </w:p>
        </w:tc>
      </w:tr>
      <w:tr w:rsidR="00E53042" w:rsidRPr="00E53042" w:rsidTr="009701C9">
        <w:trPr>
          <w:gridAfter w:val="1"/>
          <w:wAfter w:w="571" w:type="dxa"/>
          <w:trHeight w:val="86"/>
        </w:trPr>
        <w:tc>
          <w:tcPr>
            <w:tcW w:w="3785" w:type="dxa"/>
            <w:shd w:val="clear" w:color="auto" w:fill="FFFFFF"/>
            <w:noWrap/>
          </w:tcPr>
          <w:p w:rsidR="00E53042" w:rsidRPr="00E53042" w:rsidRDefault="00E53042" w:rsidP="00E53042">
            <w:pPr>
              <w:spacing w:after="0" w:line="240" w:lineRule="auto"/>
              <w:rPr>
                <w:rFonts w:ascii="Book Antiqua" w:eastAsia="Times New Roman" w:hAnsi="Book Antiqua" w:cs="Times New Roman"/>
                <w:szCs w:val="20"/>
              </w:rPr>
            </w:pPr>
            <w:r w:rsidRPr="00E53042">
              <w:rPr>
                <w:rFonts w:ascii="Book Antiqua" w:eastAsia="Times New Roman" w:hAnsi="Book Antiqua" w:cs="Times New Roman"/>
                <w:szCs w:val="20"/>
              </w:rPr>
              <w:t>Terry Whitlock</w:t>
            </w:r>
          </w:p>
        </w:tc>
      </w:tr>
      <w:tr w:rsidR="00E53042" w:rsidRPr="00E53042" w:rsidTr="009701C9">
        <w:trPr>
          <w:gridAfter w:val="1"/>
          <w:wAfter w:w="571" w:type="dxa"/>
          <w:trHeight w:val="86"/>
        </w:trPr>
        <w:tc>
          <w:tcPr>
            <w:tcW w:w="3785" w:type="dxa"/>
            <w:shd w:val="clear" w:color="auto" w:fill="FFFFFF"/>
            <w:noWrap/>
          </w:tcPr>
          <w:p w:rsidR="00E53042" w:rsidRPr="00E53042" w:rsidRDefault="00E53042" w:rsidP="00E53042">
            <w:pPr>
              <w:spacing w:after="0" w:line="240" w:lineRule="auto"/>
              <w:rPr>
                <w:rFonts w:ascii="Book Antiqua" w:eastAsia="Times New Roman" w:hAnsi="Book Antiqua" w:cs="Times New Roman"/>
                <w:szCs w:val="20"/>
              </w:rPr>
            </w:pPr>
            <w:r w:rsidRPr="00E53042">
              <w:rPr>
                <w:rFonts w:ascii="Book Antiqua" w:eastAsia="Times New Roman" w:hAnsi="Book Antiqua" w:cs="Times New Roman"/>
                <w:szCs w:val="20"/>
              </w:rPr>
              <w:t>Wilbert Funeral Services, Inc.</w:t>
            </w:r>
          </w:p>
        </w:tc>
      </w:tr>
      <w:tr w:rsidR="00E53042" w:rsidRPr="00E53042" w:rsidTr="009701C9">
        <w:trPr>
          <w:gridAfter w:val="1"/>
          <w:wAfter w:w="571" w:type="dxa"/>
        </w:trPr>
        <w:tc>
          <w:tcPr>
            <w:tcW w:w="3785" w:type="dxa"/>
            <w:shd w:val="clear" w:color="auto" w:fill="FFFFFF"/>
            <w:noWrap/>
          </w:tcPr>
          <w:p w:rsidR="00E53042" w:rsidRPr="00E53042" w:rsidRDefault="00E53042" w:rsidP="00E53042">
            <w:pPr>
              <w:spacing w:after="0" w:line="240" w:lineRule="auto"/>
              <w:rPr>
                <w:rFonts w:ascii="Book Antiqua" w:eastAsia="Times New Roman" w:hAnsi="Book Antiqua" w:cs="Times New Roman"/>
                <w:szCs w:val="20"/>
              </w:rPr>
            </w:pPr>
            <w:r w:rsidRPr="00E53042">
              <w:rPr>
                <w:rFonts w:ascii="Book Antiqua" w:eastAsia="Times New Roman" w:hAnsi="Book Antiqua" w:cs="Times New Roman"/>
                <w:szCs w:val="20"/>
              </w:rPr>
              <w:t>708-865-1600   x111</w:t>
            </w:r>
          </w:p>
        </w:tc>
      </w:tr>
      <w:tr w:rsidR="00E53042" w:rsidRPr="00E53042" w:rsidTr="009701C9">
        <w:trPr>
          <w:gridAfter w:val="1"/>
          <w:wAfter w:w="571" w:type="dxa"/>
        </w:trPr>
        <w:tc>
          <w:tcPr>
            <w:tcW w:w="3785" w:type="dxa"/>
            <w:shd w:val="clear" w:color="auto" w:fill="FFFFFF"/>
            <w:noWrap/>
          </w:tcPr>
          <w:p w:rsidR="00E53042" w:rsidRPr="00E53042" w:rsidRDefault="00340206" w:rsidP="00E53042">
            <w:pPr>
              <w:spacing w:after="0" w:line="240" w:lineRule="auto"/>
              <w:rPr>
                <w:rFonts w:ascii="Book Antiqua" w:eastAsia="Times New Roman" w:hAnsi="Book Antiqua" w:cs="Times New Roman"/>
                <w:szCs w:val="20"/>
              </w:rPr>
            </w:pPr>
            <w:hyperlink r:id="rId7" w:history="1">
              <w:r w:rsidR="00E53042" w:rsidRPr="00E53042">
                <w:rPr>
                  <w:rFonts w:ascii="Book Antiqua" w:eastAsia="Times New Roman" w:hAnsi="Book Antiqua" w:cs="Times New Roman"/>
                  <w:color w:val="0000FF"/>
                  <w:szCs w:val="20"/>
                  <w:u w:val="single"/>
                </w:rPr>
                <w:t>twhitlock@wilbert.com</w:t>
              </w:r>
            </w:hyperlink>
          </w:p>
          <w:p w:rsidR="00E53042" w:rsidRPr="00E53042" w:rsidRDefault="00E53042" w:rsidP="00E53042">
            <w:pPr>
              <w:spacing w:after="0" w:line="240" w:lineRule="auto"/>
              <w:rPr>
                <w:rFonts w:ascii="Book Antiqua" w:eastAsia="Times New Roman" w:hAnsi="Book Antiqua" w:cs="Times New Roman"/>
                <w:szCs w:val="20"/>
              </w:rPr>
            </w:pPr>
          </w:p>
        </w:tc>
      </w:tr>
    </w:tbl>
    <w:p w:rsidR="00E53042" w:rsidRPr="00E53042" w:rsidRDefault="00E53042" w:rsidP="00E53042">
      <w:pPr>
        <w:spacing w:after="0" w:line="240" w:lineRule="auto"/>
        <w:rPr>
          <w:rFonts w:ascii="Book Antiqua" w:eastAsia="Times New Roman" w:hAnsi="Book Antiqua" w:cs="Times New Roman"/>
          <w:b/>
          <w:sz w:val="24"/>
          <w:szCs w:val="20"/>
        </w:rPr>
      </w:pPr>
      <w:r w:rsidRPr="00E53042">
        <w:rPr>
          <w:rFonts w:ascii="Calibri" w:eastAsia="Calibri" w:hAnsi="Calibri" w:cs="Times New Roman"/>
          <w:noProof/>
        </w:rPr>
        <w:drawing>
          <wp:anchor distT="0" distB="0" distL="114300" distR="114300" simplePos="0" relativeHeight="251658752" behindDoc="0" locked="0" layoutInCell="1" allowOverlap="1" wp14:anchorId="0646DF0B" wp14:editId="67E754D4">
            <wp:simplePos x="0" y="0"/>
            <wp:positionH relativeFrom="column">
              <wp:posOffset>19050</wp:posOffset>
            </wp:positionH>
            <wp:positionV relativeFrom="paragraph">
              <wp:posOffset>-489585</wp:posOffset>
            </wp:positionV>
            <wp:extent cx="1962150" cy="790575"/>
            <wp:effectExtent l="0" t="0" r="0" b="9525"/>
            <wp:wrapSquare wrapText="bothSides"/>
            <wp:docPr id="1" name="Picture 1" descr="Wilbert Logo-2012 Tag-548-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bert Logo-2012 Tag-548-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2150" cy="790575"/>
                    </a:xfrm>
                    <a:prstGeom prst="rect">
                      <a:avLst/>
                    </a:prstGeom>
                    <a:noFill/>
                    <a:ln>
                      <a:noFill/>
                    </a:ln>
                  </pic:spPr>
                </pic:pic>
              </a:graphicData>
            </a:graphic>
          </wp:anchor>
        </w:drawing>
      </w:r>
    </w:p>
    <w:p w:rsidR="00E53042" w:rsidRPr="00E53042" w:rsidRDefault="00E53042" w:rsidP="00E53042">
      <w:pPr>
        <w:spacing w:after="0" w:line="240" w:lineRule="auto"/>
        <w:rPr>
          <w:rFonts w:ascii="Book Antiqua" w:eastAsia="Times New Roman" w:hAnsi="Book Antiqua" w:cs="Times New Roman"/>
          <w:b/>
          <w:sz w:val="24"/>
          <w:szCs w:val="20"/>
        </w:rPr>
      </w:pPr>
    </w:p>
    <w:p w:rsidR="00E53042" w:rsidRPr="00E53042" w:rsidRDefault="00E53042" w:rsidP="00E53042">
      <w:pPr>
        <w:spacing w:after="0" w:line="240" w:lineRule="auto"/>
        <w:rPr>
          <w:rFonts w:ascii="Book Antiqua" w:eastAsia="Times New Roman" w:hAnsi="Book Antiqua" w:cs="Times New Roman"/>
          <w:b/>
          <w:sz w:val="24"/>
          <w:szCs w:val="20"/>
        </w:rPr>
      </w:pPr>
    </w:p>
    <w:p w:rsidR="00E53042" w:rsidRPr="00E53042" w:rsidRDefault="00E53042" w:rsidP="00E53042">
      <w:pPr>
        <w:spacing w:after="0" w:line="240" w:lineRule="auto"/>
        <w:rPr>
          <w:rFonts w:ascii="Book Antiqua" w:eastAsia="Times New Roman" w:hAnsi="Book Antiqua" w:cs="Times New Roman"/>
          <w:b/>
          <w:sz w:val="24"/>
          <w:szCs w:val="20"/>
        </w:rPr>
      </w:pPr>
    </w:p>
    <w:p w:rsidR="00E53042" w:rsidRPr="00E53042" w:rsidRDefault="00E53042" w:rsidP="00E53042">
      <w:pPr>
        <w:spacing w:after="0" w:line="240" w:lineRule="auto"/>
        <w:rPr>
          <w:rFonts w:ascii="Book Antiqua" w:eastAsia="Times New Roman" w:hAnsi="Book Antiqua" w:cs="Times New Roman"/>
          <w:b/>
          <w:sz w:val="24"/>
          <w:szCs w:val="20"/>
        </w:rPr>
      </w:pPr>
      <w:r>
        <w:rPr>
          <w:rFonts w:ascii="Calibri" w:eastAsia="Calibri" w:hAnsi="Calibri" w:cs="Times New Roman"/>
          <w:noProof/>
        </w:rPr>
        <mc:AlternateContent>
          <mc:Choice Requires="wps">
            <w:drawing>
              <wp:anchor distT="0" distB="0" distL="114300" distR="114300" simplePos="0" relativeHeight="251656704" behindDoc="1" locked="1" layoutInCell="1" allowOverlap="1">
                <wp:simplePos x="0" y="0"/>
                <wp:positionH relativeFrom="page">
                  <wp:posOffset>0</wp:posOffset>
                </wp:positionH>
                <wp:positionV relativeFrom="page">
                  <wp:posOffset>0</wp:posOffset>
                </wp:positionV>
                <wp:extent cx="228600" cy="1005840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0058400"/>
                        </a:xfrm>
                        <a:prstGeom prst="rect">
                          <a:avLst/>
                        </a:prstGeom>
                        <a:solidFill>
                          <a:srgbClr val="003C64"/>
                        </a:solidFill>
                        <a:ln w="9525">
                          <a:solidFill>
                            <a:srgbClr val="0040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18pt;height:11in;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" fillcolor="#003c64" strokecolor="#004067">
                <w10:wrap anchorx="page" anchory="page"/>
                <w10:anchorlock/>
              </v:rect>
            </w:pict>
          </mc:Fallback>
        </mc:AlternateContent>
      </w:r>
      <w:r w:rsidRPr="00E53042">
        <w:rPr>
          <w:rFonts w:ascii="Book Antiqua" w:eastAsia="Times New Roman" w:hAnsi="Book Antiqua" w:cs="Times New Roman"/>
          <w:b/>
          <w:sz w:val="24"/>
          <w:szCs w:val="20"/>
        </w:rPr>
        <w:t>FOR IMMEDIATE RELEASE</w:t>
      </w:r>
    </w:p>
    <w:p w:rsidR="00E53042" w:rsidRPr="00E53042" w:rsidRDefault="00E53042" w:rsidP="00E53042">
      <w:pPr>
        <w:spacing w:after="0" w:line="240" w:lineRule="auto"/>
        <w:rPr>
          <w:rFonts w:ascii="Book Antiqua" w:eastAsia="Times New Roman" w:hAnsi="Book Antiqua" w:cs="Times New Roman"/>
          <w:b/>
          <w:sz w:val="24"/>
          <w:szCs w:val="20"/>
        </w:rPr>
      </w:pPr>
    </w:p>
    <w:p w:rsidR="00E53042" w:rsidRPr="00E53042" w:rsidRDefault="00E53042" w:rsidP="00E53042">
      <w:pPr>
        <w:spacing w:after="0" w:line="240" w:lineRule="auto"/>
        <w:ind w:left="-360"/>
        <w:jc w:val="center"/>
        <w:rPr>
          <w:rFonts w:ascii="Arial" w:eastAsia="Times New Roman" w:hAnsi="Arial" w:cs="Arial"/>
          <w:b/>
          <w:caps/>
          <w:sz w:val="24"/>
          <w:szCs w:val="24"/>
        </w:rPr>
      </w:pPr>
      <w:r w:rsidRPr="00E53042">
        <w:rPr>
          <w:rFonts w:ascii="Arial" w:eastAsia="Times New Roman" w:hAnsi="Arial" w:cs="Arial"/>
          <w:b/>
          <w:caps/>
          <w:sz w:val="24"/>
          <w:szCs w:val="24"/>
        </w:rPr>
        <w:t xml:space="preserve">WILBERT FUNERAL SERVICES’ Commemorating First Responders PROGRAM HELPS </w:t>
      </w:r>
      <w:r w:rsidR="005D5FB3">
        <w:rPr>
          <w:rFonts w:ascii="Arial" w:eastAsia="Times New Roman" w:hAnsi="Arial" w:cs="Arial"/>
          <w:b/>
          <w:caps/>
          <w:sz w:val="24"/>
          <w:szCs w:val="24"/>
        </w:rPr>
        <w:t>114</w:t>
      </w:r>
      <w:r w:rsidRPr="00E53042">
        <w:rPr>
          <w:rFonts w:ascii="Arial" w:eastAsia="Times New Roman" w:hAnsi="Arial" w:cs="Arial"/>
          <w:b/>
          <w:caps/>
          <w:sz w:val="24"/>
          <w:szCs w:val="24"/>
        </w:rPr>
        <w:t xml:space="preserve"> FALLEN </w:t>
      </w:r>
      <w:r>
        <w:rPr>
          <w:rFonts w:ascii="Arial" w:eastAsia="Times New Roman" w:hAnsi="Arial" w:cs="Arial"/>
          <w:b/>
          <w:caps/>
          <w:sz w:val="24"/>
          <w:szCs w:val="24"/>
        </w:rPr>
        <w:t>FIRST RESPONDER FAMILIES IN 2014</w:t>
      </w:r>
    </w:p>
    <w:p w:rsidR="00E53042" w:rsidRPr="00E53042" w:rsidRDefault="00E53042" w:rsidP="00E53042">
      <w:pPr>
        <w:spacing w:after="0" w:line="240" w:lineRule="auto"/>
        <w:jc w:val="center"/>
        <w:rPr>
          <w:rFonts w:ascii="Book Antiqua" w:eastAsia="Times New Roman" w:hAnsi="Book Antiqua" w:cs="Times New Roman"/>
          <w:b/>
          <w:bCs/>
          <w:sz w:val="20"/>
          <w:szCs w:val="20"/>
        </w:rPr>
      </w:pPr>
    </w:p>
    <w:p w:rsidR="00E53042" w:rsidRPr="00E53042" w:rsidRDefault="00E53042" w:rsidP="00E53042">
      <w:pPr>
        <w:spacing w:after="0" w:line="240" w:lineRule="auto"/>
        <w:jc w:val="center"/>
        <w:rPr>
          <w:rFonts w:ascii="Book Antiqua" w:eastAsia="Times New Roman" w:hAnsi="Book Antiqua" w:cs="Times New Roman"/>
          <w:b/>
          <w:bCs/>
          <w:sz w:val="20"/>
          <w:szCs w:val="20"/>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Pr>
          <w:rFonts w:ascii="Book Antiqua" w:eastAsia="Times New Roman" w:hAnsi="Book Antiqua" w:cs="Times New Roman"/>
          <w:sz w:val="23"/>
          <w:szCs w:val="23"/>
        </w:rPr>
        <w:t xml:space="preserve">BROADVIEW, IL, January </w:t>
      </w:r>
      <w:r w:rsidR="00A53953">
        <w:rPr>
          <w:rFonts w:ascii="Book Antiqua" w:eastAsia="Times New Roman" w:hAnsi="Book Antiqua" w:cs="Times New Roman"/>
          <w:sz w:val="23"/>
          <w:szCs w:val="23"/>
        </w:rPr>
        <w:t>13</w:t>
      </w:r>
      <w:bookmarkStart w:id="0" w:name="_GoBack"/>
      <w:bookmarkEnd w:id="0"/>
      <w:r>
        <w:rPr>
          <w:rFonts w:ascii="Book Antiqua" w:eastAsia="Times New Roman" w:hAnsi="Book Antiqua" w:cs="Times New Roman"/>
          <w:sz w:val="23"/>
          <w:szCs w:val="23"/>
        </w:rPr>
        <w:t>, 2015</w:t>
      </w:r>
      <w:r w:rsidRPr="00E53042">
        <w:rPr>
          <w:rFonts w:ascii="Book Antiqua" w:eastAsia="Times New Roman" w:hAnsi="Book Antiqua" w:cs="Times New Roman"/>
          <w:sz w:val="23"/>
          <w:szCs w:val="23"/>
        </w:rPr>
        <w:t xml:space="preserve"> – The families of </w:t>
      </w:r>
      <w:r w:rsidR="005D5FB3">
        <w:rPr>
          <w:rFonts w:ascii="Book Antiqua" w:eastAsia="Times New Roman" w:hAnsi="Book Antiqua" w:cs="Times New Roman"/>
          <w:sz w:val="23"/>
          <w:szCs w:val="23"/>
        </w:rPr>
        <w:t>114</w:t>
      </w:r>
      <w:r w:rsidRPr="00E53042">
        <w:rPr>
          <w:rFonts w:ascii="Book Antiqua" w:eastAsia="Times New Roman" w:hAnsi="Book Antiqua" w:cs="Times New Roman"/>
          <w:sz w:val="23"/>
          <w:szCs w:val="23"/>
        </w:rPr>
        <w:t xml:space="preserve"> fallen first responders were served in 201</w:t>
      </w:r>
      <w:r>
        <w:rPr>
          <w:rFonts w:ascii="Book Antiqua" w:eastAsia="Times New Roman" w:hAnsi="Book Antiqua" w:cs="Times New Roman"/>
          <w:sz w:val="23"/>
          <w:szCs w:val="23"/>
        </w:rPr>
        <w:t>4</w:t>
      </w:r>
      <w:r w:rsidRPr="00E53042">
        <w:rPr>
          <w:rFonts w:ascii="Book Antiqua" w:eastAsia="Times New Roman" w:hAnsi="Book Antiqua" w:cs="Times New Roman"/>
          <w:sz w:val="23"/>
          <w:szCs w:val="23"/>
        </w:rPr>
        <w:t xml:space="preserve"> by Commemorating First Responders, a philanthropic program of Wilbert Funeral Services, Inc. (WFSI)</w:t>
      </w:r>
      <w:r w:rsidR="00D53E4B">
        <w:rPr>
          <w:rFonts w:ascii="Book Antiqua" w:eastAsia="Times New Roman" w:hAnsi="Book Antiqua" w:cs="Times New Roman"/>
          <w:sz w:val="23"/>
          <w:szCs w:val="23"/>
        </w:rPr>
        <w:t xml:space="preserve"> and its Licensees</w:t>
      </w:r>
      <w:r w:rsidRPr="00E53042">
        <w:rPr>
          <w:rFonts w:ascii="Book Antiqua" w:eastAsia="Times New Roman" w:hAnsi="Book Antiqua" w:cs="Times New Roman"/>
          <w:sz w:val="23"/>
          <w:szCs w:val="23"/>
        </w:rPr>
        <w:t xml:space="preserve">. The program donates burial vaults and urns and a graveside service to first responders who have died in the line of duty.  </w:t>
      </w: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Families of firefighters, law enforcement officers, and emergency medical personnel receive, at no charge, a Wilbert Stainless Steel Triune® burial vault when traditional burial is chosen.  If cremation is chosen, Wilbert offers families a choice from four high-quality urns; if the cremains are to be buried, a Stainless Steel Triune urn vault is also provided.  Each vault comes with a Wilbert Legacy Custom® personalized carapace, donated by Legacy Prints, one of WFSI’s vendor partners.</w:t>
      </w: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The nearly 200-strong network of Wilbert Licensees shares in the contribution of the vault and urn, but also provide, where permitted, a WilbertWay™ graveside setup.  The display of the personalized carapace on the vault cover at the graveside adds to the commemoration of the fallen hero.  The final sealing and lowering of the vault is also part of the WilbertWay service.</w:t>
      </w: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Pr>
          <w:rFonts w:ascii="Book Antiqua" w:eastAsia="Times New Roman" w:hAnsi="Book Antiqua" w:cs="Times New Roman"/>
          <w:sz w:val="23"/>
          <w:szCs w:val="23"/>
        </w:rPr>
        <w:t>In 2014</w:t>
      </w:r>
      <w:r w:rsidRPr="00E53042">
        <w:rPr>
          <w:rFonts w:ascii="Book Antiqua" w:eastAsia="Times New Roman" w:hAnsi="Book Antiqua" w:cs="Times New Roman"/>
          <w:sz w:val="23"/>
          <w:szCs w:val="23"/>
        </w:rPr>
        <w:t xml:space="preserve">, the program served a diverse range of fallen first responders across North America.  The summary of service organizations and fallen heroes are as follows:  </w:t>
      </w: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 xml:space="preserve">Fire                     </w:t>
      </w:r>
      <w:r w:rsidRPr="00E53042">
        <w:rPr>
          <w:rFonts w:ascii="Book Antiqua" w:eastAsia="Times New Roman" w:hAnsi="Book Antiqua" w:cs="Times New Roman"/>
          <w:sz w:val="23"/>
          <w:szCs w:val="23"/>
        </w:rPr>
        <w:tab/>
      </w:r>
      <w:r w:rsidR="005D5FB3">
        <w:rPr>
          <w:rFonts w:ascii="Book Antiqua" w:eastAsia="Times New Roman" w:hAnsi="Book Antiqua" w:cs="Times New Roman"/>
          <w:sz w:val="23"/>
          <w:szCs w:val="23"/>
        </w:rPr>
        <w:tab/>
        <w:t>46</w:t>
      </w: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 xml:space="preserve">Law Enforcement         </w:t>
      </w:r>
      <w:r w:rsidRPr="00E53042">
        <w:rPr>
          <w:rFonts w:ascii="Book Antiqua" w:eastAsia="Times New Roman" w:hAnsi="Book Antiqua" w:cs="Times New Roman"/>
          <w:sz w:val="23"/>
          <w:szCs w:val="23"/>
        </w:rPr>
        <w:tab/>
      </w:r>
      <w:r w:rsidR="005D5FB3">
        <w:rPr>
          <w:rFonts w:ascii="Book Antiqua" w:eastAsia="Times New Roman" w:hAnsi="Book Antiqua" w:cs="Times New Roman"/>
          <w:sz w:val="23"/>
          <w:szCs w:val="23"/>
        </w:rPr>
        <w:t>65</w:t>
      </w: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 xml:space="preserve">EMS                  </w:t>
      </w:r>
      <w:r w:rsidRPr="00E53042">
        <w:rPr>
          <w:rFonts w:ascii="Book Antiqua" w:eastAsia="Times New Roman" w:hAnsi="Book Antiqua" w:cs="Times New Roman"/>
          <w:sz w:val="23"/>
          <w:szCs w:val="23"/>
        </w:rPr>
        <w:tab/>
      </w:r>
      <w:r w:rsidR="005D5FB3">
        <w:rPr>
          <w:rFonts w:ascii="Book Antiqua" w:eastAsia="Times New Roman" w:hAnsi="Book Antiqua" w:cs="Times New Roman"/>
          <w:sz w:val="23"/>
          <w:szCs w:val="23"/>
        </w:rPr>
        <w:tab/>
        <w:t xml:space="preserve">  3</w:t>
      </w: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lastRenderedPageBreak/>
        <w:t xml:space="preserve">“The First Responder community has been extremely appreciative of the help the Wilbert network is providing to the families who are experiencing a line of duty death.  Information about the program is spreading thanks to the assistance of Concerns of Police Survivors (COPS), </w:t>
      </w:r>
      <w:r w:rsidR="00E262C1">
        <w:rPr>
          <w:rFonts w:ascii="Book Antiqua" w:eastAsia="Times New Roman" w:hAnsi="Book Antiqua" w:cs="Times New Roman"/>
          <w:sz w:val="23"/>
          <w:szCs w:val="23"/>
        </w:rPr>
        <w:t xml:space="preserve">International Conference of Police Chaplains (ICPC), </w:t>
      </w:r>
      <w:r w:rsidRPr="00E53042">
        <w:rPr>
          <w:rFonts w:ascii="Book Antiqua" w:eastAsia="Times New Roman" w:hAnsi="Book Antiqua" w:cs="Times New Roman"/>
          <w:sz w:val="23"/>
          <w:szCs w:val="23"/>
        </w:rPr>
        <w:t xml:space="preserve">National EMS Memorial Service and National Fallen Firefighters (NFFF) who have assisted families in their time of need and witnessed their reactions when told that Wilbert is donating a burial vault or cremation product. Since its inception in 2012, the program has served </w:t>
      </w:r>
      <w:r w:rsidR="005D5FB3">
        <w:rPr>
          <w:rFonts w:ascii="Book Antiqua" w:eastAsia="Times New Roman" w:hAnsi="Book Antiqua" w:cs="Times New Roman"/>
          <w:sz w:val="23"/>
          <w:szCs w:val="23"/>
        </w:rPr>
        <w:t>374</w:t>
      </w:r>
      <w:r w:rsidRPr="00E53042">
        <w:rPr>
          <w:rFonts w:ascii="Book Antiqua" w:eastAsia="Times New Roman" w:hAnsi="Book Antiqua" w:cs="Times New Roman"/>
          <w:sz w:val="23"/>
          <w:szCs w:val="23"/>
        </w:rPr>
        <w:t xml:space="preserve"> first responders and their families,” said Terry Whitlock, WFSI </w:t>
      </w:r>
      <w:r w:rsidR="004F5330">
        <w:rPr>
          <w:rFonts w:ascii="Book Antiqua" w:eastAsia="Times New Roman" w:hAnsi="Book Antiqua" w:cs="Times New Roman"/>
          <w:sz w:val="23"/>
          <w:szCs w:val="23"/>
        </w:rPr>
        <w:t>V</w:t>
      </w:r>
      <w:r w:rsidRPr="00E53042">
        <w:rPr>
          <w:rFonts w:ascii="Book Antiqua" w:eastAsia="Times New Roman" w:hAnsi="Book Antiqua" w:cs="Times New Roman"/>
          <w:sz w:val="23"/>
          <w:szCs w:val="23"/>
        </w:rPr>
        <w:t xml:space="preserve">ice </w:t>
      </w:r>
      <w:r w:rsidR="004F5330">
        <w:rPr>
          <w:rFonts w:ascii="Book Antiqua" w:eastAsia="Times New Roman" w:hAnsi="Book Antiqua" w:cs="Times New Roman"/>
          <w:sz w:val="23"/>
          <w:szCs w:val="23"/>
        </w:rPr>
        <w:t>P</w:t>
      </w:r>
      <w:r w:rsidRPr="00E53042">
        <w:rPr>
          <w:rFonts w:ascii="Book Antiqua" w:eastAsia="Times New Roman" w:hAnsi="Book Antiqua" w:cs="Times New Roman"/>
          <w:sz w:val="23"/>
          <w:szCs w:val="23"/>
        </w:rPr>
        <w:t>resident</w:t>
      </w:r>
      <w:r w:rsidR="004F5330">
        <w:rPr>
          <w:rFonts w:ascii="Book Antiqua" w:eastAsia="Times New Roman" w:hAnsi="Book Antiqua" w:cs="Times New Roman"/>
          <w:sz w:val="23"/>
          <w:szCs w:val="23"/>
        </w:rPr>
        <w:t xml:space="preserve"> of Licensee Relations</w:t>
      </w:r>
      <w:r w:rsidRPr="00E53042">
        <w:rPr>
          <w:rFonts w:ascii="Book Antiqua" w:eastAsia="Times New Roman" w:hAnsi="Book Antiqua" w:cs="Times New Roman"/>
          <w:sz w:val="23"/>
          <w:szCs w:val="23"/>
        </w:rPr>
        <w:t>.</w:t>
      </w:r>
    </w:p>
    <w:p w:rsidR="00E53042" w:rsidRPr="00E53042" w:rsidRDefault="00E53042" w:rsidP="00E53042">
      <w:pPr>
        <w:spacing w:after="0" w:line="360" w:lineRule="auto"/>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The Funeral Professionals who provide the service to the families also play a vital role in the success of the Commemorating First Responders program.  WFSI invites funeral professionals and others to cont</w:t>
      </w:r>
      <w:r w:rsidR="00FE5D0D">
        <w:rPr>
          <w:rFonts w:ascii="Book Antiqua" w:eastAsia="Times New Roman" w:hAnsi="Book Antiqua" w:cs="Times New Roman"/>
          <w:sz w:val="23"/>
          <w:szCs w:val="23"/>
        </w:rPr>
        <w:t xml:space="preserve">act a Wilbert licensee or visit </w:t>
      </w:r>
      <w:hyperlink r:id="rId9" w:history="1">
        <w:r w:rsidRPr="00E53042">
          <w:rPr>
            <w:rFonts w:ascii="Book Antiqua" w:eastAsia="Times New Roman" w:hAnsi="Book Antiqua" w:cs="Times New Roman"/>
            <w:color w:val="0000FF"/>
            <w:sz w:val="23"/>
            <w:szCs w:val="23"/>
            <w:u w:val="single"/>
          </w:rPr>
          <w:t>www.wilbert.hmsbox.com/responders</w:t>
        </w:r>
      </w:hyperlink>
      <w:r w:rsidRPr="00E53042">
        <w:rPr>
          <w:rFonts w:ascii="Book Antiqua" w:eastAsia="Times New Roman" w:hAnsi="Book Antiqua" w:cs="Times New Roman"/>
          <w:sz w:val="23"/>
          <w:szCs w:val="23"/>
        </w:rPr>
        <w:t xml:space="preserve"> to learn how to participate in this program commemorating heroic lives, sacrificed in valiant service to local communities. </w:t>
      </w: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r w:rsidRPr="00E53042">
        <w:rPr>
          <w:rFonts w:ascii="Book Antiqua" w:eastAsia="Times New Roman" w:hAnsi="Book Antiqua" w:cs="Times New Roman"/>
          <w:sz w:val="23"/>
          <w:szCs w:val="23"/>
        </w:rPr>
        <w:t xml:space="preserve">Wilbert Funeral Service Incorporated is a licensor of Wilbert burial vaults and cremation urns, and is the industry leader with a network of nearly 200 Licensees serving funeral homes and cemeteries throughout North America. Visit </w:t>
      </w:r>
      <w:hyperlink r:id="rId10" w:history="1">
        <w:r w:rsidRPr="00E53042">
          <w:rPr>
            <w:rFonts w:ascii="Book Antiqua" w:eastAsia="Times New Roman" w:hAnsi="Book Antiqua" w:cs="Times New Roman"/>
            <w:color w:val="0000FF"/>
            <w:sz w:val="23"/>
            <w:szCs w:val="23"/>
            <w:u w:val="single"/>
          </w:rPr>
          <w:t>www.wilbert.com</w:t>
        </w:r>
      </w:hyperlink>
      <w:r w:rsidRPr="00E53042">
        <w:rPr>
          <w:rFonts w:ascii="Book Antiqua" w:eastAsia="Times New Roman" w:hAnsi="Book Antiqua" w:cs="Times New Roman"/>
          <w:sz w:val="23"/>
          <w:szCs w:val="23"/>
        </w:rPr>
        <w:t xml:space="preserve"> and the Commemorating First Responders Facebook page at </w:t>
      </w:r>
      <w:hyperlink r:id="rId11" w:history="1">
        <w:r w:rsidRPr="00E53042">
          <w:rPr>
            <w:rFonts w:ascii="Book Antiqua" w:eastAsia="Times New Roman" w:hAnsi="Book Antiqua" w:cs="Times New Roman"/>
            <w:color w:val="0000FF" w:themeColor="hyperlink"/>
            <w:sz w:val="23"/>
            <w:szCs w:val="23"/>
            <w:u w:val="single"/>
          </w:rPr>
          <w:t>www.Facebook.com/WilbertFuneralServices</w:t>
        </w:r>
      </w:hyperlink>
      <w:r w:rsidRPr="00E53042">
        <w:rPr>
          <w:rFonts w:ascii="Book Antiqua" w:eastAsia="Times New Roman" w:hAnsi="Book Antiqua" w:cs="Times New Roman"/>
          <w:sz w:val="23"/>
          <w:szCs w:val="23"/>
        </w:rPr>
        <w:t xml:space="preserve"> for more information. </w:t>
      </w: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360"/>
        <w:rPr>
          <w:rFonts w:ascii="Book Antiqua" w:eastAsia="Times New Roman" w:hAnsi="Book Antiqua" w:cs="Times New Roman"/>
          <w:sz w:val="23"/>
          <w:szCs w:val="23"/>
        </w:rPr>
      </w:pPr>
    </w:p>
    <w:p w:rsidR="00E53042" w:rsidRPr="00E53042" w:rsidRDefault="00E53042" w:rsidP="00E53042">
      <w:pPr>
        <w:spacing w:after="0" w:line="360" w:lineRule="auto"/>
        <w:ind w:firstLine="187"/>
        <w:jc w:val="center"/>
        <w:rPr>
          <w:rFonts w:ascii="Book Antiqua" w:eastAsia="Times New Roman" w:hAnsi="Book Antiqua" w:cs="Times New Roman"/>
        </w:rPr>
      </w:pPr>
      <w:r w:rsidRPr="00E53042">
        <w:rPr>
          <w:rFonts w:ascii="Book Antiqua" w:eastAsia="Times New Roman" w:hAnsi="Book Antiqua" w:cs="Times New Roman"/>
        </w:rPr>
        <w:t># # #</w:t>
      </w:r>
      <w:r>
        <w:rPr>
          <w:rFonts w:ascii="Calibri" w:eastAsia="Calibri" w:hAnsi="Calibri" w:cs="Times New Roman"/>
          <w:noProof/>
        </w:rPr>
        <mc:AlternateContent>
          <mc:Choice Requires="wps">
            <w:drawing>
              <wp:anchor distT="0" distB="0" distL="114300" distR="114300" simplePos="0" relativeHeight="251657728" behindDoc="1" locked="1" layoutInCell="1" allowOverlap="1">
                <wp:simplePos x="0" y="0"/>
                <wp:positionH relativeFrom="page">
                  <wp:posOffset>0</wp:posOffset>
                </wp:positionH>
                <wp:positionV relativeFrom="page">
                  <wp:posOffset>0</wp:posOffset>
                </wp:positionV>
                <wp:extent cx="228600" cy="100584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0058400"/>
                        </a:xfrm>
                        <a:prstGeom prst="rect">
                          <a:avLst/>
                        </a:prstGeom>
                        <a:solidFill>
                          <a:srgbClr val="003C64"/>
                        </a:solidFill>
                        <a:ln w="9525">
                          <a:solidFill>
                            <a:srgbClr val="0040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0;width:18pt;height:11in;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" fillcolor="#003c64" strokecolor="#004067">
                <w10:wrap anchorx="page" anchory="page"/>
                <w10:anchorlock/>
              </v:rect>
            </w:pict>
          </mc:Fallback>
        </mc:AlternateContent>
      </w:r>
    </w:p>
    <w:p w:rsidR="00E53042" w:rsidRPr="00E53042" w:rsidRDefault="00E53042" w:rsidP="00E53042">
      <w:pPr>
        <w:rPr>
          <w:rFonts w:ascii="Calibri" w:eastAsia="Calibri" w:hAnsi="Calibri" w:cs="Times New Roman"/>
        </w:rPr>
      </w:pPr>
    </w:p>
    <w:p w:rsidR="00E53042" w:rsidRPr="00E53042" w:rsidRDefault="00E53042" w:rsidP="00E53042"/>
    <w:p w:rsidR="00534D8A" w:rsidRDefault="00534D8A"/>
    <w:sectPr w:rsidR="00534D8A" w:rsidSect="00551F18">
      <w:footerReference w:type="even" r:id="rId12"/>
      <w:footerReference w:type="default" r:id="rId13"/>
      <w:pgSz w:w="12240" w:h="15840"/>
      <w:pgMar w:top="1440" w:right="1152" w:bottom="1152"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0206" w:rsidRDefault="00340206">
      <w:pPr>
        <w:spacing w:after="0" w:line="240" w:lineRule="auto"/>
      </w:pPr>
      <w:r>
        <w:separator/>
      </w:r>
    </w:p>
  </w:endnote>
  <w:endnote w:type="continuationSeparator" w:id="0">
    <w:p w:rsidR="00340206" w:rsidRDefault="00340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F18" w:rsidRDefault="00FE5D0D" w:rsidP="00551F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51F18" w:rsidRDefault="0034020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F18" w:rsidRPr="00BC6105" w:rsidRDefault="00FE5D0D" w:rsidP="000D6E60">
    <w:pPr>
      <w:pStyle w:val="Footer"/>
      <w:pBdr>
        <w:top w:val="single" w:sz="4" w:space="1" w:color="D9D9D9"/>
      </w:pBdr>
      <w:jc w:val="center"/>
      <w:rPr>
        <w:rFonts w:ascii="Arial" w:hAnsi="Arial" w:cs="Arial"/>
        <w:sz w:val="20"/>
      </w:rPr>
    </w:pPr>
    <w:r w:rsidRPr="003C075B">
      <w:rPr>
        <w:rFonts w:ascii="Arial" w:hAnsi="Arial" w:cs="Arial"/>
        <w:sz w:val="18"/>
        <w:szCs w:val="18"/>
      </w:rPr>
      <w:t xml:space="preserve">Press Release: </w:t>
    </w:r>
    <w:r>
      <w:rPr>
        <w:rFonts w:ascii="Arial" w:hAnsi="Arial" w:cs="Arial"/>
        <w:sz w:val="18"/>
        <w:szCs w:val="18"/>
      </w:rPr>
      <w:t>Wilbert Commemorating First Responders Program Serves 1</w:t>
    </w:r>
    <w:r w:rsidR="00316C73">
      <w:rPr>
        <w:rFonts w:ascii="Arial" w:hAnsi="Arial" w:cs="Arial"/>
        <w:sz w:val="18"/>
        <w:szCs w:val="18"/>
      </w:rPr>
      <w:t>1</w:t>
    </w:r>
    <w:r>
      <w:rPr>
        <w:rFonts w:ascii="Arial" w:hAnsi="Arial" w:cs="Arial"/>
        <w:sz w:val="18"/>
        <w:szCs w:val="18"/>
      </w:rPr>
      <w:t>4 Families in 201</w:t>
    </w:r>
    <w:r w:rsidR="00316C73">
      <w:rPr>
        <w:rFonts w:ascii="Arial" w:hAnsi="Arial" w:cs="Arial"/>
        <w:sz w:val="18"/>
        <w:szCs w:val="18"/>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0206" w:rsidRDefault="00340206">
      <w:pPr>
        <w:spacing w:after="0" w:line="240" w:lineRule="auto"/>
      </w:pPr>
      <w:r>
        <w:separator/>
      </w:r>
    </w:p>
  </w:footnote>
  <w:footnote w:type="continuationSeparator" w:id="0">
    <w:p w:rsidR="00340206" w:rsidRDefault="003402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042"/>
    <w:rsid w:val="000978EB"/>
    <w:rsid w:val="00316C73"/>
    <w:rsid w:val="00340206"/>
    <w:rsid w:val="004F5330"/>
    <w:rsid w:val="00534D8A"/>
    <w:rsid w:val="005D5FB3"/>
    <w:rsid w:val="00753CC0"/>
    <w:rsid w:val="00A53953"/>
    <w:rsid w:val="00C922DA"/>
    <w:rsid w:val="00D53E4B"/>
    <w:rsid w:val="00E262C1"/>
    <w:rsid w:val="00E53042"/>
    <w:rsid w:val="00FE5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3042"/>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E53042"/>
    <w:rPr>
      <w:rFonts w:ascii="Calibri" w:eastAsia="Calibri" w:hAnsi="Calibri" w:cs="Times New Roman"/>
    </w:rPr>
  </w:style>
  <w:style w:type="character" w:styleId="PageNumber">
    <w:name w:val="page number"/>
    <w:rsid w:val="00E53042"/>
  </w:style>
  <w:style w:type="paragraph" w:styleId="Header">
    <w:name w:val="header"/>
    <w:basedOn w:val="Normal"/>
    <w:link w:val="HeaderChar"/>
    <w:uiPriority w:val="99"/>
    <w:unhideWhenUsed/>
    <w:rsid w:val="00316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C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3042"/>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E53042"/>
    <w:rPr>
      <w:rFonts w:ascii="Calibri" w:eastAsia="Calibri" w:hAnsi="Calibri" w:cs="Times New Roman"/>
    </w:rPr>
  </w:style>
  <w:style w:type="character" w:styleId="PageNumber">
    <w:name w:val="page number"/>
    <w:rsid w:val="00E53042"/>
  </w:style>
  <w:style w:type="paragraph" w:styleId="Header">
    <w:name w:val="header"/>
    <w:basedOn w:val="Normal"/>
    <w:link w:val="HeaderChar"/>
    <w:uiPriority w:val="99"/>
    <w:unhideWhenUsed/>
    <w:rsid w:val="00316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twhitlock@wilbert.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Facebook.com/WilbertFuneralServi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wilbert.com/" TargetMode="External"/><Relationship Id="rId4" Type="http://schemas.openxmlformats.org/officeDocument/2006/relationships/webSettings" Target="webSettings.xml"/><Relationship Id="rId9" Type="http://schemas.openxmlformats.org/officeDocument/2006/relationships/hyperlink" Target="http://www.wilbert.hmsbox.com/respond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Allen</dc:creator>
  <cp:lastModifiedBy>wstellmach</cp:lastModifiedBy>
  <cp:revision>2</cp:revision>
  <cp:lastPrinted>2015-01-09T14:26:00Z</cp:lastPrinted>
  <dcterms:created xsi:type="dcterms:W3CDTF">2015-01-13T21:04:00Z</dcterms:created>
  <dcterms:modified xsi:type="dcterms:W3CDTF">2015-01-13T21:04:00Z</dcterms:modified>
</cp:coreProperties>
</file>